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7B" w:rsidRPr="00F35ADE" w:rsidRDefault="00724E7B" w:rsidP="00724E7B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>Методические рекомендации по планированию и организации самостоятельной работы</w:t>
      </w:r>
    </w:p>
    <w:p w:rsidR="00724E7B" w:rsidRPr="00AF0F1C" w:rsidRDefault="00724E7B" w:rsidP="00724E7B">
      <w:pPr>
        <w:ind w:firstLine="709"/>
        <w:rPr>
          <w:sz w:val="28"/>
          <w:szCs w:val="28"/>
        </w:rPr>
      </w:pPr>
      <w:r w:rsidRPr="00F35ADE">
        <w:rPr>
          <w:sz w:val="28"/>
          <w:szCs w:val="28"/>
        </w:rPr>
        <w:t>Успешность освоения дисциплины во многом зависит от планирования и организации самостоятельной работы студента, слушателя.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Систематическая подготовка позволит Вам успешно овладеть  знаниями в области</w:t>
      </w:r>
      <w:r>
        <w:rPr>
          <w:sz w:val="28"/>
          <w:szCs w:val="28"/>
        </w:rPr>
        <w:t xml:space="preserve"> истории государственных учреждений</w:t>
      </w:r>
      <w:r w:rsidRPr="00F35ADE">
        <w:rPr>
          <w:sz w:val="28"/>
          <w:szCs w:val="28"/>
        </w:rPr>
        <w:t xml:space="preserve">. Наиболее эффективно изучать </w:t>
      </w:r>
      <w:r>
        <w:rPr>
          <w:sz w:val="28"/>
          <w:szCs w:val="28"/>
        </w:rPr>
        <w:t xml:space="preserve">курс </w:t>
      </w:r>
      <w:r w:rsidRPr="00F35ADE">
        <w:rPr>
          <w:sz w:val="28"/>
          <w:szCs w:val="28"/>
        </w:rPr>
        <w:t>в традиционном повествовательном изложении материала в учебниках и учебных пособиях, решая одновременно тестовые задания. Посвятив данной деятельности один – два раза в неделю по два академических часа, Вы сможете еще до сессии успешно подготовиться к итоговой аттестации при минимальных временных затратах.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Как правило, студентов знакомят со структурой и содержанием дисциплины, раскрывают последовательность и внутреннюю логику курса еще на установочных занятиях. Что дает возможность заблаговременно подготовить </w:t>
      </w:r>
      <w:r>
        <w:rPr>
          <w:sz w:val="28"/>
          <w:szCs w:val="28"/>
        </w:rPr>
        <w:t xml:space="preserve"> контрольную</w:t>
      </w:r>
      <w:r w:rsidRPr="00F35ADE">
        <w:rPr>
          <w:sz w:val="28"/>
          <w:szCs w:val="28"/>
        </w:rPr>
        <w:t xml:space="preserve"> работу, изучить необходимый материал, проанализировать и решить тесты.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Контрольная работа представляет собой форму промежуточной аттестации.  Они являются необходимым этапом подготовки к итоговому контролю в виде экзамена. Цель контрольной работы состоит не только в контроле Ваших знаний, но и активизации познавательной деятельности слушателей, в развитии логического мышления.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приобретая</w:t>
      </w:r>
      <w:r w:rsidRPr="00F35ADE">
        <w:rPr>
          <w:sz w:val="28"/>
          <w:szCs w:val="28"/>
        </w:rPr>
        <w:t xml:space="preserve"> знания о</w:t>
      </w:r>
      <w:r>
        <w:rPr>
          <w:sz w:val="28"/>
          <w:szCs w:val="28"/>
        </w:rPr>
        <w:t>б</w:t>
      </w:r>
      <w:r w:rsidRPr="00F3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истории и </w:t>
      </w:r>
      <w:r w:rsidRPr="00F35AD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государственных учреждений, Вы можете, использовать</w:t>
      </w:r>
      <w:r w:rsidRPr="00F35ADE">
        <w:rPr>
          <w:sz w:val="28"/>
          <w:szCs w:val="28"/>
        </w:rPr>
        <w:t xml:space="preserve"> разнообразные источники информации: материалы учебно-методического комплекса, рекомендуемую литературу, представленную после каждой темы; учебные, научные и др. издания, не указанные в данном списке, а также сайты</w:t>
      </w:r>
      <w:r>
        <w:rPr>
          <w:sz w:val="28"/>
          <w:szCs w:val="28"/>
        </w:rPr>
        <w:t xml:space="preserve"> архивных учреждений.</w:t>
      </w:r>
      <w:r w:rsidRPr="00F35ADE">
        <w:rPr>
          <w:sz w:val="28"/>
          <w:szCs w:val="28"/>
        </w:rPr>
        <w:t xml:space="preserve"> </w:t>
      </w:r>
    </w:p>
    <w:p w:rsidR="00724E7B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Оказать помощь в подборе дополнительной литературы Вам может преподавательский состав кафедры и работники научной библиотеки.</w:t>
      </w:r>
    </w:p>
    <w:p w:rsidR="00724E7B" w:rsidRDefault="00724E7B" w:rsidP="00724E7B">
      <w:pPr>
        <w:ind w:firstLine="709"/>
        <w:jc w:val="both"/>
        <w:rPr>
          <w:sz w:val="28"/>
          <w:szCs w:val="28"/>
        </w:rPr>
      </w:pPr>
    </w:p>
    <w:p w:rsidR="00724E7B" w:rsidRPr="00EE657E" w:rsidRDefault="00724E7B" w:rsidP="00724E7B">
      <w:pPr>
        <w:spacing w:line="380" w:lineRule="exact"/>
        <w:jc w:val="center"/>
        <w:rPr>
          <w:b/>
          <w:bCs/>
          <w:color w:val="000000"/>
          <w:spacing w:val="-16"/>
          <w:sz w:val="28"/>
          <w:szCs w:val="28"/>
        </w:rPr>
      </w:pPr>
      <w:r w:rsidRPr="00EE657E">
        <w:rPr>
          <w:b/>
          <w:bCs/>
          <w:color w:val="000000"/>
          <w:spacing w:val="-16"/>
          <w:sz w:val="28"/>
          <w:szCs w:val="28"/>
        </w:rPr>
        <w:t>ВОПРОСЫ ДЛЯ САМО</w:t>
      </w:r>
      <w:r>
        <w:rPr>
          <w:b/>
          <w:bCs/>
          <w:color w:val="000000"/>
          <w:spacing w:val="-16"/>
          <w:sz w:val="28"/>
          <w:szCs w:val="28"/>
        </w:rPr>
        <w:t>СТОЯТЕЛЬНОЙ РАБОТЫ</w:t>
      </w:r>
    </w:p>
    <w:p w:rsidR="00724E7B" w:rsidRDefault="00724E7B" w:rsidP="00724E7B">
      <w:pPr>
        <w:shd w:val="clear" w:color="auto" w:fill="FFFFFF"/>
        <w:contextualSpacing/>
        <w:jc w:val="both"/>
        <w:rPr>
          <w:sz w:val="24"/>
          <w:szCs w:val="24"/>
        </w:rPr>
      </w:pPr>
      <w:r w:rsidRPr="00651732">
        <w:rPr>
          <w:sz w:val="24"/>
          <w:szCs w:val="24"/>
        </w:rPr>
        <w:t xml:space="preserve">1 СРС. </w:t>
      </w:r>
      <w:r w:rsidRPr="009D42AB">
        <w:rPr>
          <w:sz w:val="24"/>
          <w:szCs w:val="24"/>
        </w:rPr>
        <w:t>Организация государственного аппарата: основные принципы и его деятельность. Механизм государственного аппарата</w:t>
      </w:r>
    </w:p>
    <w:p w:rsidR="00724E7B" w:rsidRDefault="00724E7B" w:rsidP="00724E7B">
      <w:pPr>
        <w:shd w:val="clear" w:color="auto" w:fill="FFFFFF"/>
        <w:contextualSpacing/>
        <w:jc w:val="both"/>
        <w:rPr>
          <w:sz w:val="24"/>
          <w:szCs w:val="24"/>
        </w:rPr>
      </w:pPr>
      <w:r w:rsidRPr="00651732">
        <w:rPr>
          <w:sz w:val="24"/>
          <w:szCs w:val="24"/>
        </w:rPr>
        <w:t xml:space="preserve">2 </w:t>
      </w:r>
      <w:r>
        <w:rPr>
          <w:sz w:val="24"/>
          <w:szCs w:val="24"/>
        </w:rPr>
        <w:t>СРС.</w:t>
      </w:r>
      <w:r w:rsidRPr="00113111">
        <w:rPr>
          <w:sz w:val="24"/>
          <w:szCs w:val="24"/>
        </w:rPr>
        <w:t xml:space="preserve"> Всеказахстанские съезды Советов. Образование СНК и ЦИК КАССР. Народные комиссариаты</w:t>
      </w:r>
    </w:p>
    <w:p w:rsidR="00724E7B" w:rsidRDefault="00724E7B" w:rsidP="00724E7B">
      <w:pPr>
        <w:shd w:val="clear" w:color="auto" w:fill="FFFFFF"/>
        <w:contextualSpacing/>
        <w:jc w:val="both"/>
        <w:rPr>
          <w:sz w:val="24"/>
          <w:szCs w:val="24"/>
        </w:rPr>
      </w:pPr>
      <w:r w:rsidRPr="00651732">
        <w:rPr>
          <w:sz w:val="24"/>
          <w:szCs w:val="24"/>
        </w:rPr>
        <w:t xml:space="preserve">3 </w:t>
      </w:r>
      <w:r w:rsidRPr="00113111">
        <w:rPr>
          <w:sz w:val="24"/>
          <w:szCs w:val="24"/>
        </w:rPr>
        <w:t>СРС. Судебная система Казахстана. Правоохранительные органы</w:t>
      </w:r>
      <w:r>
        <w:rPr>
          <w:sz w:val="24"/>
          <w:szCs w:val="24"/>
        </w:rPr>
        <w:t xml:space="preserve"> в Казахстане в 20-30-е годы</w:t>
      </w:r>
    </w:p>
    <w:p w:rsidR="00724E7B" w:rsidRDefault="00724E7B" w:rsidP="00724E7B">
      <w:pPr>
        <w:shd w:val="clear" w:color="auto" w:fill="FFFFFF"/>
        <w:contextualSpacing/>
        <w:jc w:val="both"/>
        <w:rPr>
          <w:sz w:val="24"/>
          <w:szCs w:val="24"/>
        </w:rPr>
      </w:pPr>
      <w:r w:rsidRPr="00BC41FB">
        <w:rPr>
          <w:sz w:val="24"/>
          <w:szCs w:val="24"/>
        </w:rPr>
        <w:t>4 СРС. Создание чрезвычайных органов</w:t>
      </w:r>
      <w:r>
        <w:rPr>
          <w:sz w:val="24"/>
          <w:szCs w:val="24"/>
        </w:rPr>
        <w:t xml:space="preserve"> в военный период</w:t>
      </w:r>
    </w:p>
    <w:p w:rsidR="00724E7B" w:rsidRDefault="00724E7B" w:rsidP="00724E7B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BC41FB">
        <w:rPr>
          <w:sz w:val="24"/>
          <w:szCs w:val="24"/>
        </w:rPr>
        <w:t xml:space="preserve">5 СРС. Реорганизации учреждений по руководству  народным хозяйством: 1946, 1948, 1953 гг. Общая реорганизация министерств </w:t>
      </w:r>
      <w:smartTag w:uri="urn:schemas-microsoft-com:office:smarttags" w:element="metricconverter">
        <w:smartTagPr>
          <w:attr w:name="ProductID" w:val="1953 г"/>
        </w:smartTagPr>
        <w:r w:rsidRPr="00BC41FB">
          <w:rPr>
            <w:sz w:val="24"/>
            <w:szCs w:val="24"/>
          </w:rPr>
          <w:t>1953 г</w:t>
        </w:r>
      </w:smartTag>
      <w:r w:rsidRPr="00BC41FB">
        <w:rPr>
          <w:sz w:val="24"/>
          <w:szCs w:val="24"/>
        </w:rPr>
        <w:t>. и ее оценка.</w:t>
      </w:r>
    </w:p>
    <w:p w:rsidR="00724E7B" w:rsidRDefault="00724E7B" w:rsidP="00724E7B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651732">
        <w:rPr>
          <w:sz w:val="24"/>
          <w:szCs w:val="24"/>
        </w:rPr>
        <w:t xml:space="preserve">6 СРС. </w:t>
      </w:r>
      <w:r w:rsidRPr="003A4AE4">
        <w:rPr>
          <w:sz w:val="24"/>
          <w:szCs w:val="24"/>
        </w:rPr>
        <w:t>Реформа органов управления</w:t>
      </w:r>
      <w:r>
        <w:rPr>
          <w:sz w:val="24"/>
          <w:szCs w:val="24"/>
        </w:rPr>
        <w:t xml:space="preserve"> в экономике Казахстана</w:t>
      </w:r>
    </w:p>
    <w:p w:rsidR="00724E7B" w:rsidRDefault="00724E7B" w:rsidP="00724E7B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651732">
        <w:rPr>
          <w:sz w:val="24"/>
          <w:szCs w:val="24"/>
        </w:rPr>
        <w:lastRenderedPageBreak/>
        <w:t xml:space="preserve">7 СРС. </w:t>
      </w:r>
      <w:r w:rsidRPr="0002085D">
        <w:rPr>
          <w:sz w:val="24"/>
          <w:szCs w:val="24"/>
        </w:rPr>
        <w:t>Органы управления в области социально-культурного строительства</w:t>
      </w:r>
    </w:p>
    <w:p w:rsidR="00724E7B" w:rsidRPr="00BC41FB" w:rsidRDefault="00724E7B" w:rsidP="00724E7B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651732">
        <w:rPr>
          <w:sz w:val="24"/>
          <w:szCs w:val="24"/>
        </w:rPr>
        <w:t>8 СРС.</w:t>
      </w:r>
      <w:r w:rsidRPr="00226887">
        <w:rPr>
          <w:sz w:val="28"/>
          <w:szCs w:val="28"/>
        </w:rPr>
        <w:t xml:space="preserve"> </w:t>
      </w:r>
      <w:r w:rsidRPr="0002085D">
        <w:rPr>
          <w:sz w:val="24"/>
          <w:szCs w:val="24"/>
        </w:rPr>
        <w:t>Административно-политические органы. Органы управления обороной страны</w:t>
      </w:r>
      <w:r>
        <w:rPr>
          <w:sz w:val="24"/>
          <w:szCs w:val="24"/>
        </w:rPr>
        <w:t xml:space="preserve"> в 60-80-е годы</w:t>
      </w:r>
    </w:p>
    <w:p w:rsidR="00724E7B" w:rsidRPr="009D42AB" w:rsidRDefault="00724E7B" w:rsidP="00724E7B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</w:p>
    <w:p w:rsidR="00724E7B" w:rsidRPr="00F35ADE" w:rsidRDefault="00724E7B" w:rsidP="00724E7B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 xml:space="preserve">Требования к написанию и оформлению </w:t>
      </w:r>
    </w:p>
    <w:p w:rsidR="00724E7B" w:rsidRPr="00F35ADE" w:rsidRDefault="00724E7B" w:rsidP="00724E7B">
      <w:pPr>
        <w:ind w:firstLine="709"/>
        <w:jc w:val="center"/>
        <w:rPr>
          <w:b/>
          <w:sz w:val="28"/>
          <w:szCs w:val="28"/>
        </w:rPr>
      </w:pPr>
      <w:r w:rsidRPr="00F35ADE">
        <w:rPr>
          <w:b/>
          <w:sz w:val="28"/>
          <w:szCs w:val="28"/>
        </w:rPr>
        <w:t xml:space="preserve">  контрольной работы</w:t>
      </w:r>
      <w:r>
        <w:rPr>
          <w:b/>
          <w:sz w:val="28"/>
          <w:szCs w:val="28"/>
        </w:rPr>
        <w:t xml:space="preserve"> (реферата, эссе, доклада и др.)</w:t>
      </w:r>
    </w:p>
    <w:p w:rsidR="00724E7B" w:rsidRPr="00F35ADE" w:rsidRDefault="00724E7B" w:rsidP="00724E7B">
      <w:pPr>
        <w:ind w:firstLine="709"/>
        <w:jc w:val="center"/>
        <w:rPr>
          <w:b/>
          <w:sz w:val="28"/>
          <w:szCs w:val="28"/>
        </w:rPr>
      </w:pPr>
    </w:p>
    <w:p w:rsidR="00724E7B" w:rsidRPr="00AF0F1C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Контрольная работа начинается с титульного листа</w:t>
      </w:r>
      <w:r>
        <w:rPr>
          <w:sz w:val="28"/>
          <w:szCs w:val="28"/>
        </w:rPr>
        <w:t>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На второй странице контрольной работы прописывается план с указанием названия глав, параграфов, их объема в страницах.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Текст контрольной  работы предполагает наличие следующих частей: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Оглавление, 2-4 параграфа (ответы на вопросы), список использованных источников и литературы, приложения.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ОСНОВНАЯ ЧАСТЬ работы оформляется </w:t>
      </w:r>
      <w:r>
        <w:rPr>
          <w:sz w:val="28"/>
          <w:szCs w:val="28"/>
        </w:rPr>
        <w:t xml:space="preserve">в виде  ответов на поставленные вопросы. В ответах формулируются </w:t>
      </w:r>
      <w:r w:rsidRPr="00F35ADE">
        <w:rPr>
          <w:sz w:val="28"/>
          <w:szCs w:val="28"/>
        </w:rPr>
        <w:t xml:space="preserve">важнейшие понятия, излагаются вопросы темы, сопоставляется точки зрения, указываются существенные характеристики предмета исследования. Параграф </w:t>
      </w:r>
      <w:r>
        <w:rPr>
          <w:sz w:val="28"/>
          <w:szCs w:val="28"/>
        </w:rPr>
        <w:t xml:space="preserve"> </w:t>
      </w:r>
      <w:r w:rsidRPr="00F35ADE">
        <w:rPr>
          <w:sz w:val="28"/>
          <w:szCs w:val="28"/>
        </w:rPr>
        <w:t xml:space="preserve">желательно завершить кратким обобщением изложенного материала. 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Важно при изложении позиций экспертов (оппонентов) указывать на источники цитирования, а цитаты заключать в кавычки. Сноски лучше делать в конце каждой страницы. В них должен быть указан источник цитирования (фамилия, имя, отчество автора, название книги (статьи), издательство, год издания и страница).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ПРИЛОЖЕНИЯ К РАБОТЕ может содержать эмпирический материал, который студент проанализировал в контрольной работе, а также образцы документов, схемы, графики анализа, макеты, проекты разработанных планов и документов.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СПИСОК ИСПОЛЬЗУЕМЫХ ИСТОЧНИКОВ И ЛИТЕРАТУРЫ должен быть оформлен в алфавитной порядке в соответствии с современными правилами библиографического описания. Вначале необходимо разместить источники (законодательные акты, архивные документы и т.д.), в конце список литературы.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Например: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О реорганизации и централизации архивного дела: Декрет СНК РСФСР от 1 июня 1918 года //Декреты советской власти. - М., 1959. - Т.2. -С.383-385.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Объем </w:t>
      </w:r>
      <w:r w:rsidRPr="00F35ADE">
        <w:rPr>
          <w:b/>
          <w:sz w:val="28"/>
          <w:szCs w:val="28"/>
        </w:rPr>
        <w:t xml:space="preserve">контрольной </w:t>
      </w:r>
      <w:r w:rsidRPr="00F35ADE">
        <w:rPr>
          <w:sz w:val="28"/>
          <w:szCs w:val="28"/>
        </w:rPr>
        <w:t xml:space="preserve">работы составляет </w:t>
      </w:r>
      <w:r>
        <w:rPr>
          <w:sz w:val="28"/>
          <w:szCs w:val="28"/>
        </w:rPr>
        <w:t>15-</w:t>
      </w:r>
      <w:r w:rsidRPr="00F35ADE">
        <w:rPr>
          <w:sz w:val="28"/>
          <w:szCs w:val="28"/>
        </w:rPr>
        <w:t xml:space="preserve">20 страниц (через 1,5 интервала),  набранных в текстовом редакторе </w:t>
      </w:r>
      <w:r w:rsidRPr="00F35ADE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 Фор</w:t>
      </w:r>
      <w:r w:rsidRPr="00F35ADE">
        <w:rPr>
          <w:sz w:val="28"/>
          <w:szCs w:val="28"/>
        </w:rPr>
        <w:t xml:space="preserve">мат А4, поля: левое </w:t>
      </w:r>
      <w:r w:rsidRPr="00F35ADE">
        <w:rPr>
          <w:sz w:val="28"/>
          <w:szCs w:val="28"/>
        </w:rPr>
        <w:lastRenderedPageBreak/>
        <w:t xml:space="preserve">– </w:t>
      </w:r>
      <w:smartTag w:uri="urn:schemas-microsoft-com:office:smarttags" w:element="metricconverter">
        <w:smartTagPr>
          <w:attr w:name="ProductID" w:val="30 мм"/>
        </w:smartTagPr>
        <w:r w:rsidRPr="00F35ADE">
          <w:rPr>
            <w:sz w:val="28"/>
            <w:szCs w:val="28"/>
          </w:rPr>
          <w:t>30 мм</w:t>
        </w:r>
      </w:smartTag>
      <w:r w:rsidRPr="00F35ADE">
        <w:rPr>
          <w:sz w:val="28"/>
          <w:szCs w:val="28"/>
        </w:rPr>
        <w:t xml:space="preserve">, верхнее, нижнее – </w:t>
      </w:r>
      <w:smartTag w:uri="urn:schemas-microsoft-com:office:smarttags" w:element="metricconverter">
        <w:smartTagPr>
          <w:attr w:name="ProductID" w:val="20 мм"/>
        </w:smartTagPr>
        <w:r w:rsidRPr="00F35ADE">
          <w:rPr>
            <w:sz w:val="28"/>
            <w:szCs w:val="28"/>
          </w:rPr>
          <w:t>20 мм</w:t>
        </w:r>
      </w:smartTag>
      <w:r w:rsidRPr="00F35ADE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2,0 мм"/>
        </w:smartTagPr>
        <w:r w:rsidRPr="00F35ADE">
          <w:rPr>
            <w:sz w:val="28"/>
            <w:szCs w:val="28"/>
          </w:rPr>
          <w:t>2,0 мм</w:t>
        </w:r>
      </w:smartTag>
      <w:r w:rsidRPr="00F35ADE">
        <w:rPr>
          <w:sz w:val="28"/>
          <w:szCs w:val="28"/>
        </w:rPr>
        <w:t xml:space="preserve">. Шрифт - </w:t>
      </w:r>
      <w:r w:rsidRPr="00F35ADE">
        <w:rPr>
          <w:sz w:val="28"/>
          <w:szCs w:val="28"/>
          <w:lang w:val="en-US"/>
        </w:rPr>
        <w:t>Times</w:t>
      </w:r>
      <w:r w:rsidRPr="00F35ADE">
        <w:rPr>
          <w:sz w:val="28"/>
          <w:szCs w:val="28"/>
        </w:rPr>
        <w:t xml:space="preserve"> </w:t>
      </w:r>
      <w:r w:rsidRPr="00F35ADE">
        <w:rPr>
          <w:sz w:val="28"/>
          <w:szCs w:val="28"/>
          <w:lang w:val="en-US"/>
        </w:rPr>
        <w:t>New</w:t>
      </w:r>
      <w:r w:rsidRPr="00F35ADE">
        <w:rPr>
          <w:sz w:val="28"/>
          <w:szCs w:val="28"/>
        </w:rPr>
        <w:t xml:space="preserve"> </w:t>
      </w:r>
      <w:r w:rsidRPr="00F35ADE">
        <w:rPr>
          <w:sz w:val="28"/>
          <w:szCs w:val="28"/>
          <w:lang w:val="en-US"/>
        </w:rPr>
        <w:t>Roman</w:t>
      </w:r>
      <w:r w:rsidRPr="00F35ADE">
        <w:rPr>
          <w:sz w:val="28"/>
          <w:szCs w:val="28"/>
        </w:rPr>
        <w:t>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Текст </w:t>
      </w:r>
      <w:r>
        <w:rPr>
          <w:sz w:val="28"/>
          <w:szCs w:val="28"/>
        </w:rPr>
        <w:t>контрольной</w:t>
      </w:r>
      <w:r w:rsidRPr="00F35ADE">
        <w:rPr>
          <w:sz w:val="28"/>
          <w:szCs w:val="28"/>
        </w:rPr>
        <w:t xml:space="preserve"> работы нумеруется, начиная с третьей страницы, на которой ставиться арабская цифра "3" в середине верхнего поля страницы.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После написания и оформления контрольной работы по предмету, студент долже</w:t>
      </w:r>
      <w:r>
        <w:rPr>
          <w:sz w:val="28"/>
          <w:szCs w:val="28"/>
        </w:rPr>
        <w:t>н сдать ее на кафедру</w:t>
      </w:r>
      <w:r w:rsidRPr="00F35ADE">
        <w:rPr>
          <w:sz w:val="28"/>
          <w:szCs w:val="28"/>
        </w:rPr>
        <w:t>. Последний срок сдачи контрольной   работы за 10 дней до зачета, экзамена. К итоговой аттестации (экзамену)  студент может быть допущен лишь при условии зачета контрольной работы преподавателем.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Контрольная работа не засчитывается если: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основные вопросы работы не раскрыты;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 она не носит самостоятельный характер (отсутствует авторская позиция, обобщения, выводы</w:t>
      </w:r>
      <w:r>
        <w:rPr>
          <w:sz w:val="28"/>
          <w:szCs w:val="28"/>
        </w:rPr>
        <w:t>, не указаны нормативные правовые акты</w:t>
      </w:r>
      <w:r w:rsidRPr="00F35ADE">
        <w:rPr>
          <w:sz w:val="28"/>
          <w:szCs w:val="28"/>
        </w:rPr>
        <w:t>);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в тексте представлена информация не соответствующая действительности;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 xml:space="preserve"> - она скопирована из Интернета или других хранилищ контрольно-реферативных работ;</w:t>
      </w:r>
    </w:p>
    <w:p w:rsidR="00724E7B" w:rsidRPr="00F35ADE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- в работе отсутствуют ссылки на используемую литературу, библиографический аппарат оформлен неправильно.</w:t>
      </w:r>
    </w:p>
    <w:p w:rsidR="00724E7B" w:rsidRDefault="00724E7B" w:rsidP="00724E7B">
      <w:pPr>
        <w:ind w:firstLine="709"/>
        <w:jc w:val="both"/>
        <w:rPr>
          <w:sz w:val="28"/>
          <w:szCs w:val="28"/>
        </w:rPr>
      </w:pPr>
      <w:r w:rsidRPr="00F35ADE">
        <w:rPr>
          <w:sz w:val="28"/>
          <w:szCs w:val="28"/>
        </w:rPr>
        <w:t>Контрольная работа не возвращается и хранится на кафедре не менее одного года.</w:t>
      </w:r>
    </w:p>
    <w:p w:rsidR="003E1F1E" w:rsidRPr="00F35ADE" w:rsidRDefault="003E1F1E" w:rsidP="00724E7B">
      <w:pPr>
        <w:ind w:firstLine="709"/>
        <w:jc w:val="both"/>
        <w:rPr>
          <w:sz w:val="28"/>
          <w:szCs w:val="28"/>
        </w:rPr>
      </w:pPr>
    </w:p>
    <w:p w:rsidR="00724E7B" w:rsidRDefault="003E1F1E" w:rsidP="003E1F1E">
      <w:pPr>
        <w:pStyle w:val="BodyText"/>
        <w:tabs>
          <w:tab w:val="left" w:pos="108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КОНТРОЛЬНЫХ РАБОТ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Определите 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оль и место государственного аппарата и государственных учреждений в политической системе общества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Понятие «государственный аппарат» и его механизм.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Особенности организации советского государственного аппарата.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Всеказахстанские съезды советов: организация и порядок работы.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КазЦИК: создание, структура и деятельность.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КазСНК: стратегия и особенности его деятельности.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Учреждения экономических связей в КССР: функции, структура и кадры.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Социально-культурные органы в Казахстане в период с 1920 по 1936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>Принятие конституции Казахской ССР 1937 г. и изменения в системе управления.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Новообразования в структуре государственных учреждений после Кнституции 1937 года.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Высшие органы власти и управления (1936-1990).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Система жесткой централизации управления всеми отраслями государственной жизни.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Местные органы государственной власти и управления</w:t>
      </w: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в период с 1920 по 1936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Конституция СССР  1936 года и ущемление прав союзных республик. Закрепление централизации управления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административно-командной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Судебная система Казахстана в 20-30-е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 чрезвычайных органов в 20-30-е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Союза ССР. Взаимоотношения Казахстана с союзными республиками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Ущемление роли Советов в рамках формально-демократических институтов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работы государственных учреждений в экстремальных условиях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Высшие органы государственной власти и управления в послевоенный период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Реорганизация народных комиссариатов и совета народных комиссариатов в министерства и советы министров (1946 г.). 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Реорганизации учреждений по руководству  народным хозяйством: 1946, 1948, 1953 гг.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Реформа органов управления промышленностью и строительством в 60-80-е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сельским хозяйством в 60-80-е годы.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Органы управления в области социально-культурного строительства в 60-80-е годы.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Органы управления культурой и искусством в 60-80-е годы.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Органы управления наукой и техникой в 60-80-е годы.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Административно-политические органы в 60-80-е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Верховный Совет Казахской ССР и его Президиум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 Министров Казахской ССР. Порядок образования, состав, срок полномочий, компетенция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Внедрение хозрасчетных и арендных отношений в промышленности в 80-е годы.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органов управления сельским хозяйством. Внедрение хозрасчетных и арендных отношений в сельское хозяйство в 80-е годы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общественных организаций и ее классификация. Их место  и роль в политической системе общества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Профсоюзы, их полномочия и деятельность. Кооперация и ее виды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Молодежные организации. Их место  и роль в политической системе общества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Изучение механизма советского государственного аппарата: принципы организации и особенности.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Высшие органы власти и управления Республики Казахстан.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Особенности организации системы государственных учреждений Казахстана.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Совершенствование системы государственного управления в РК.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Анализ нормативных правовых актов по организации государственных учреждений.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Государственный аппарат: особенности организации и методы его деятельности.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Анализ деятельности учреждений различной организационно-правовой формы: компетенция, структура, штат и особенности делопроизводства.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схемы высших органов власти и управления, органов отраслевого управления в разные исторические периоды.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основных законодательных актов по организации государственных учреждений.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Изучение и анализ направлений деятельности государственных учреждений, форм и методов их деятельности, а также изменения в конкретных исторических условиях.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Обобщение опыта деятельности государственных учреждений «советской модели».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Изучение и анализ внутренней организации и направлений учреждений различной организационно-правовой формы.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Основные тенденции развития учреждений в Республике Казахстан.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Формы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особенности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методов и формы управления.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Модернизация системы управления и форм организации деятельности государственных учреждений.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Правовые основы организации деятельности государственных учреждений Республики Казахстан. 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Нормативные правовые акты, регулирующие реорганизацию системы государственных учреждений Казахстана. 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Конституция Республики Казахстан. Законы РК  о высших органах власти и управления.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Высшие органы власти и управления Республики Казахстан. Президент. Кабинет Министров (Правительство).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lastRenderedPageBreak/>
        <w:t xml:space="preserve"> Центральные органы управления экономикой в РК. Их компетенция, функции, структура  и штат. 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Центральные органы управления социально-культурной сферой в РК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Центральные административные органы управления в РК</w:t>
      </w:r>
    </w:p>
    <w:p w:rsidR="003E1F1E" w:rsidRDefault="003E1F1E" w:rsidP="003E1F1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Местные органы власти и управления в РК</w:t>
      </w:r>
    </w:p>
    <w:p w:rsidR="00774669" w:rsidRDefault="00774669"/>
    <w:sectPr w:rsidR="00774669" w:rsidSect="0077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71"/>
    <w:multiLevelType w:val="hybridMultilevel"/>
    <w:tmpl w:val="F8823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24E7B"/>
    <w:rsid w:val="002E635D"/>
    <w:rsid w:val="003E1F1E"/>
    <w:rsid w:val="00724E7B"/>
    <w:rsid w:val="0077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4E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4E7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4E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4E7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3E1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2015-12-02T10:51:00Z</dcterms:created>
  <dcterms:modified xsi:type="dcterms:W3CDTF">2015-12-02T11:05:00Z</dcterms:modified>
</cp:coreProperties>
</file>